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C37664" w:rsidRPr="008A4568" w:rsidTr="00C7767F">
        <w:trPr>
          <w:trHeight w:val="745"/>
        </w:trPr>
        <w:tc>
          <w:tcPr>
            <w:tcW w:w="903" w:type="dxa"/>
          </w:tcPr>
          <w:p w:rsidR="00C37664" w:rsidRPr="005D57A7" w:rsidRDefault="00C37664" w:rsidP="00C7767F">
            <w:pPr>
              <w:pStyle w:val="2"/>
              <w:rPr>
                <w:sz w:val="20"/>
              </w:rPr>
            </w:pPr>
          </w:p>
          <w:p w:rsidR="00C37664" w:rsidRPr="005D57A7" w:rsidRDefault="00C37664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4" o:title=""/>
                </v:shape>
                <o:OLEObject Type="Embed" ProgID="MSDraw" ShapeID="_x0000_i1025" DrawAspect="Content" ObjectID="_1626772093" r:id="rId5"/>
              </w:object>
            </w:r>
          </w:p>
          <w:p w:rsidR="00C37664" w:rsidRPr="005D57A7" w:rsidRDefault="00C37664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C37664" w:rsidRPr="005D57A7" w:rsidRDefault="00C37664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C37664" w:rsidRPr="005D57A7" w:rsidRDefault="00C37664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C37664" w:rsidRPr="005D57A7" w:rsidRDefault="00C37664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C37664" w:rsidRPr="005D57A7" w:rsidRDefault="00C37664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C37664" w:rsidRPr="005D57A7" w:rsidRDefault="00C37664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7664" w:rsidRPr="005D57A7" w:rsidRDefault="00C37664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C37664" w:rsidRPr="00CC7A11" w:rsidRDefault="00C37664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</w:tc>
      </w:tr>
    </w:tbl>
    <w:p w:rsidR="00C37664" w:rsidRDefault="00C37664" w:rsidP="00C376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37664" w:rsidRPr="0043051D" w:rsidRDefault="00C37664" w:rsidP="00C3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37664" w:rsidRPr="0043051D" w:rsidRDefault="00C37664" w:rsidP="00C3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C37664" w:rsidRDefault="00C37664" w:rsidP="00C3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«ЭКОНОМИКО-МАТЕМАТИЧЕСКОЕ МОДЕЛИРОВАНИЕ»</w:t>
      </w:r>
    </w:p>
    <w:p w:rsidR="00C37664" w:rsidRPr="00762DFC" w:rsidRDefault="00C37664" w:rsidP="00C37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(250 академических часов)</w:t>
      </w:r>
    </w:p>
    <w:p w:rsidR="00C37664" w:rsidRPr="00752E9E" w:rsidRDefault="00C37664" w:rsidP="00C376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664" w:rsidRPr="00CC7A11" w:rsidRDefault="00C37664" w:rsidP="00C376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C7A11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C37664" w:rsidRPr="007023F6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023F6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7023F6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3F6">
        <w:rPr>
          <w:rFonts w:ascii="Times New Roman" w:hAnsi="Times New Roman" w:cs="Times New Roman"/>
          <w:sz w:val="28"/>
        </w:rPr>
        <w:t>Целью является овладение основными понятиями и</w:t>
      </w:r>
      <w:r>
        <w:rPr>
          <w:rFonts w:ascii="Times New Roman" w:hAnsi="Times New Roman" w:cs="Times New Roman"/>
          <w:sz w:val="28"/>
        </w:rPr>
        <w:t xml:space="preserve"> методами построения экономико-</w:t>
      </w:r>
      <w:r w:rsidRPr="007023F6">
        <w:rPr>
          <w:rFonts w:ascii="Times New Roman" w:hAnsi="Times New Roman" w:cs="Times New Roman"/>
          <w:sz w:val="28"/>
        </w:rPr>
        <w:t>математических моделей; приобретение навыков моделирования и решения практических задач; использование полученных знаний и навыков при решении экономических и управленческих задач.</w:t>
      </w:r>
      <w:r w:rsidRPr="00FF62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7664" w:rsidRPr="003066EF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6EF">
        <w:rPr>
          <w:rFonts w:ascii="Times New Roman" w:hAnsi="Times New Roman" w:cs="Times New Roman"/>
          <w:iCs/>
          <w:sz w:val="28"/>
          <w:szCs w:val="28"/>
        </w:rPr>
        <w:t xml:space="preserve">а) область профессиональной деятельности слушателя, прошедшего </w:t>
      </w:r>
      <w:proofErr w:type="gramStart"/>
      <w:r w:rsidRPr="003066EF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профессиональной переподготовки для выполнения нового вида профессиональной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Экономико-математическое моделирование</w:t>
      </w:r>
      <w:r w:rsidRPr="003066EF">
        <w:rPr>
          <w:rFonts w:ascii="Times New Roman" w:hAnsi="Times New Roman" w:cs="Times New Roman"/>
          <w:iCs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включает: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37664" w:rsidRPr="007023F6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iCs/>
          <w:sz w:val="28"/>
          <w:szCs w:val="28"/>
        </w:rPr>
        <w:t>-</w:t>
      </w:r>
      <w:r w:rsidRPr="007023F6">
        <w:rPr>
          <w:rFonts w:ascii="Times New Roman" w:hAnsi="Times New Roman" w:cs="Times New Roman"/>
          <w:sz w:val="28"/>
          <w:szCs w:val="28"/>
        </w:rPr>
        <w:t xml:space="preserve"> способность использовать основы экономических знаний в различных сферах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664" w:rsidRPr="007023F6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 xml:space="preserve">- способность использовать основы правовых знаний </w:t>
      </w:r>
      <w:r>
        <w:rPr>
          <w:rFonts w:ascii="Times New Roman" w:hAnsi="Times New Roman" w:cs="Times New Roman"/>
          <w:sz w:val="28"/>
          <w:szCs w:val="28"/>
        </w:rPr>
        <w:t>в различных сферах деятельности;</w:t>
      </w:r>
    </w:p>
    <w:p w:rsidR="00C37664" w:rsidRPr="007023F6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- способность использовать современные математические методы и современные прикладные программные средства и осваивать современ</w:t>
      </w:r>
      <w:r>
        <w:rPr>
          <w:rFonts w:ascii="Times New Roman" w:hAnsi="Times New Roman" w:cs="Times New Roman"/>
          <w:sz w:val="28"/>
          <w:szCs w:val="28"/>
        </w:rPr>
        <w:t>ные технологии программирования;</w:t>
      </w:r>
    </w:p>
    <w:p w:rsidR="00C37664" w:rsidRPr="007023F6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- способность и готовностью решать проблемы</w:t>
      </w:r>
      <w:r>
        <w:rPr>
          <w:rFonts w:ascii="Times New Roman" w:hAnsi="Times New Roman" w:cs="Times New Roman"/>
          <w:sz w:val="28"/>
          <w:szCs w:val="28"/>
        </w:rPr>
        <w:t>, брать на себя ответственность;</w:t>
      </w:r>
    </w:p>
    <w:p w:rsidR="00C37664" w:rsidRPr="007023F6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 xml:space="preserve">- способность организовать </w:t>
      </w:r>
      <w:r>
        <w:rPr>
          <w:rFonts w:ascii="Times New Roman" w:hAnsi="Times New Roman" w:cs="Times New Roman"/>
          <w:sz w:val="28"/>
          <w:szCs w:val="28"/>
        </w:rPr>
        <w:t>работу малых групп исполнителей;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- способность определять экономическую целесообразность принимаемых технич</w:t>
      </w:r>
      <w:r>
        <w:rPr>
          <w:rFonts w:ascii="Times New Roman" w:hAnsi="Times New Roman" w:cs="Times New Roman"/>
          <w:sz w:val="28"/>
          <w:szCs w:val="28"/>
        </w:rPr>
        <w:t>еских и организационных решений;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3F6">
        <w:rPr>
          <w:rFonts w:ascii="Times New Roman" w:hAnsi="Times New Roman" w:cs="Times New Roman"/>
          <w:sz w:val="28"/>
          <w:szCs w:val="28"/>
        </w:rPr>
        <w:t>- способность выявить естественнонаучную сущность проблем, возникающих в ходе профессиональной деятельности, готовностью использовать для их решения соответствующий естественнонаучный аппарат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664" w:rsidRPr="00295859" w:rsidRDefault="00C37664" w:rsidP="00C376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95859">
        <w:rPr>
          <w:rFonts w:ascii="Times New Roman" w:hAnsi="Times New Roman" w:cs="Times New Roman"/>
          <w:b/>
          <w:iCs/>
          <w:sz w:val="28"/>
          <w:szCs w:val="28"/>
        </w:rPr>
        <w:t>1.3. Требования к результатам освоения программы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слушатель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 w:rsidRPr="00CE7F1B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CC1A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7664" w:rsidRPr="00295859" w:rsidRDefault="00C37664" w:rsidP="00C3766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295859">
        <w:rPr>
          <w:rFonts w:ascii="Times New Roman" w:eastAsia="Arial Unicode MS" w:hAnsi="Times New Roman" w:cs="Times New Roman"/>
          <w:sz w:val="28"/>
          <w:szCs w:val="28"/>
        </w:rPr>
        <w:t xml:space="preserve">наиболее широко используемые модели микроэкономических и макроэкономических процессов и систем (задачи линейного, нелинейного, динамического, векторного программирования, задачи теории массового обслуживания); </w:t>
      </w:r>
    </w:p>
    <w:p w:rsidR="00C37664" w:rsidRPr="00295859" w:rsidRDefault="00C37664" w:rsidP="00C3766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295859">
        <w:rPr>
          <w:rFonts w:ascii="Times New Roman" w:eastAsia="Arial Unicode MS" w:hAnsi="Times New Roman" w:cs="Times New Roman"/>
          <w:sz w:val="28"/>
          <w:szCs w:val="28"/>
        </w:rPr>
        <w:t xml:space="preserve">основные принципы оптимальности (экстремальность, </w:t>
      </w:r>
      <w:proofErr w:type="spellStart"/>
      <w:r w:rsidRPr="00295859">
        <w:rPr>
          <w:rFonts w:ascii="Times New Roman" w:eastAsia="Arial Unicode MS" w:hAnsi="Times New Roman" w:cs="Times New Roman"/>
          <w:sz w:val="28"/>
          <w:szCs w:val="28"/>
        </w:rPr>
        <w:t>паретооптимальность</w:t>
      </w:r>
      <w:proofErr w:type="spellEnd"/>
      <w:r w:rsidRPr="00295859">
        <w:rPr>
          <w:rFonts w:ascii="Times New Roman" w:eastAsia="Arial Unicode MS" w:hAnsi="Times New Roman" w:cs="Times New Roman"/>
          <w:sz w:val="28"/>
          <w:szCs w:val="28"/>
        </w:rPr>
        <w:t xml:space="preserve">, доминирование); 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слушатель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 w:rsidRPr="00CE7F1B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CC1A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7664" w:rsidRPr="00467C45" w:rsidRDefault="00C37664" w:rsidP="00C3766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67C45">
        <w:rPr>
          <w:rFonts w:ascii="Times New Roman" w:hAnsi="Times New Roman" w:cs="Times New Roman"/>
          <w:sz w:val="28"/>
          <w:szCs w:val="28"/>
        </w:rPr>
        <w:t>самостоятельно составлять, решат</w:t>
      </w:r>
      <w:r>
        <w:rPr>
          <w:rFonts w:ascii="Times New Roman" w:hAnsi="Times New Roman" w:cs="Times New Roman"/>
          <w:sz w:val="28"/>
          <w:szCs w:val="28"/>
        </w:rPr>
        <w:t xml:space="preserve">ь и интерпретировать простейшие </w:t>
      </w:r>
      <w:r w:rsidRPr="00467C45">
        <w:rPr>
          <w:rFonts w:ascii="Times New Roman" w:hAnsi="Times New Roman" w:cs="Times New Roman"/>
          <w:sz w:val="28"/>
          <w:szCs w:val="28"/>
        </w:rPr>
        <w:t>практически значимые экономико-математические модели;</w:t>
      </w:r>
    </w:p>
    <w:p w:rsidR="00C37664" w:rsidRDefault="00C37664" w:rsidP="00C3766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7C45">
        <w:rPr>
          <w:rFonts w:ascii="Times New Roman" w:hAnsi="Times New Roman" w:cs="Times New Roman"/>
          <w:sz w:val="28"/>
          <w:szCs w:val="28"/>
        </w:rPr>
        <w:t>обосновывать хозяйственные решения на основе результатов решения модели.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E9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слушатель</w:t>
      </w:r>
      <w:r w:rsidRPr="00CC1AE9">
        <w:rPr>
          <w:rFonts w:ascii="Times New Roman" w:hAnsi="Times New Roman" w:cs="Times New Roman"/>
          <w:sz w:val="28"/>
          <w:szCs w:val="28"/>
        </w:rPr>
        <w:t xml:space="preserve"> </w:t>
      </w:r>
      <w:r w:rsidRPr="00CE7F1B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b/>
          <w:sz w:val="28"/>
          <w:szCs w:val="28"/>
        </w:rPr>
        <w:t>владеть</w:t>
      </w:r>
      <w:r w:rsidRPr="00CC1A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7664" w:rsidRPr="00467C45" w:rsidRDefault="00C37664" w:rsidP="00C3766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7C45">
        <w:rPr>
          <w:rFonts w:ascii="Times New Roman" w:hAnsi="Times New Roman" w:cs="Times New Roman"/>
          <w:sz w:val="28"/>
          <w:szCs w:val="28"/>
        </w:rPr>
        <w:t>изобразительными средствами представления экономико-математических моделей в объёме, достаточном для понимания их экономического смысла;</w:t>
      </w:r>
    </w:p>
    <w:p w:rsidR="00C37664" w:rsidRPr="00467C45" w:rsidRDefault="00C37664" w:rsidP="00C3766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7C45">
        <w:rPr>
          <w:rFonts w:ascii="Times New Roman" w:hAnsi="Times New Roman" w:cs="Times New Roman"/>
          <w:sz w:val="28"/>
          <w:szCs w:val="28"/>
        </w:rPr>
        <w:t>навыками формулирования простейших прикладных экономико-математических моделей;</w:t>
      </w:r>
    </w:p>
    <w:p w:rsidR="00C37664" w:rsidRPr="00467C45" w:rsidRDefault="00C37664" w:rsidP="00C3766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7C45">
        <w:rPr>
          <w:rFonts w:ascii="Times New Roman" w:hAnsi="Times New Roman" w:cs="Times New Roman"/>
          <w:sz w:val="28"/>
          <w:szCs w:val="28"/>
        </w:rPr>
        <w:t>программным обеспечением решения задач линейного и выпуклого программирования (</w:t>
      </w:r>
      <w:r w:rsidRPr="00467C45">
        <w:rPr>
          <w:rFonts w:ascii="Times New Roman" w:hAnsi="Times New Roman" w:cs="Times New Roman"/>
          <w:sz w:val="28"/>
          <w:szCs w:val="28"/>
          <w:lang w:val="en-GB"/>
        </w:rPr>
        <w:t>Sunset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C45">
        <w:rPr>
          <w:rFonts w:ascii="Times New Roman" w:hAnsi="Times New Roman" w:cs="Times New Roman"/>
          <w:sz w:val="28"/>
          <w:szCs w:val="28"/>
          <w:lang w:val="en-GB"/>
        </w:rPr>
        <w:t>XA</w:t>
      </w:r>
      <w:r w:rsidRPr="00467C45">
        <w:rPr>
          <w:rFonts w:ascii="Times New Roman" w:hAnsi="Times New Roman" w:cs="Times New Roman"/>
          <w:sz w:val="28"/>
          <w:szCs w:val="28"/>
        </w:rPr>
        <w:t xml:space="preserve"> и средство «Поиск решения» табличного процессора </w:t>
      </w:r>
      <w:r w:rsidRPr="00467C45">
        <w:rPr>
          <w:rFonts w:ascii="Times New Roman" w:hAnsi="Times New Roman" w:cs="Times New Roman"/>
          <w:sz w:val="28"/>
          <w:szCs w:val="28"/>
          <w:lang w:val="en-GB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C45">
        <w:rPr>
          <w:rFonts w:ascii="Times New Roman" w:hAnsi="Times New Roman" w:cs="Times New Roman"/>
          <w:sz w:val="28"/>
          <w:szCs w:val="28"/>
          <w:lang w:val="en-GB"/>
        </w:rPr>
        <w:t>Excel</w:t>
      </w:r>
      <w:r w:rsidRPr="00467C45">
        <w:rPr>
          <w:rFonts w:ascii="Times New Roman" w:hAnsi="Times New Roman" w:cs="Times New Roman"/>
          <w:sz w:val="28"/>
          <w:szCs w:val="28"/>
        </w:rPr>
        <w:t>).</w:t>
      </w:r>
    </w:p>
    <w:p w:rsidR="00C37664" w:rsidRPr="00CC1AE9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1AE9">
        <w:rPr>
          <w:rFonts w:ascii="Times New Roman" w:hAnsi="Times New Roman" w:cs="Times New Roman"/>
          <w:b/>
          <w:iCs/>
          <w:sz w:val="28"/>
          <w:szCs w:val="28"/>
        </w:rPr>
        <w:t xml:space="preserve">1.4. </w:t>
      </w:r>
      <w:proofErr w:type="gramStart"/>
      <w:r w:rsidRPr="00CC1AE9">
        <w:rPr>
          <w:rFonts w:ascii="Times New Roman" w:hAnsi="Times New Roman" w:cs="Times New Roman"/>
          <w:b/>
          <w:iCs/>
          <w:sz w:val="28"/>
          <w:szCs w:val="28"/>
        </w:rPr>
        <w:t>Требования к уровню подготовки поступающего на обучение, необходимому для освоения программы</w:t>
      </w:r>
      <w:proofErr w:type="gramEnd"/>
    </w:p>
    <w:p w:rsidR="00C37664" w:rsidRPr="001A129C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C37664" w:rsidRPr="00463D70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250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C37664" w:rsidRPr="004042C2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C37664" w:rsidRPr="004042C2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C37664" w:rsidRDefault="00C37664" w:rsidP="00C3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C37664" w:rsidRDefault="00C37664" w:rsidP="00C376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37664" w:rsidRPr="00D969AD" w:rsidRDefault="00C37664" w:rsidP="00C376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D969AD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p w:rsidR="00C37664" w:rsidRDefault="00C37664" w:rsidP="00C376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2728"/>
        <w:gridCol w:w="945"/>
        <w:gridCol w:w="992"/>
        <w:gridCol w:w="1701"/>
        <w:gridCol w:w="1701"/>
        <w:gridCol w:w="1208"/>
      </w:tblGrid>
      <w:tr w:rsidR="00C37664" w:rsidTr="00C7767F">
        <w:trPr>
          <w:trHeight w:val="311"/>
        </w:trPr>
        <w:tc>
          <w:tcPr>
            <w:tcW w:w="546" w:type="dxa"/>
            <w:vMerge w:val="restart"/>
          </w:tcPr>
          <w:p w:rsidR="00C37664" w:rsidRPr="00253E96" w:rsidRDefault="00C37664" w:rsidP="00C7767F">
            <w:pPr>
              <w:pStyle w:val="Default"/>
            </w:pPr>
            <w:proofErr w:type="spellStart"/>
            <w:proofErr w:type="gramStart"/>
            <w:r w:rsidRPr="00253E96">
              <w:t>п</w:t>
            </w:r>
            <w:proofErr w:type="spellEnd"/>
            <w:proofErr w:type="gramEnd"/>
            <w:r w:rsidRPr="00253E96">
              <w:t>/</w:t>
            </w:r>
            <w:proofErr w:type="spellStart"/>
            <w:r w:rsidRPr="00253E96">
              <w:t>п</w:t>
            </w:r>
            <w:proofErr w:type="spellEnd"/>
            <w:r w:rsidRPr="00253E96">
              <w:t xml:space="preserve"> </w:t>
            </w:r>
          </w:p>
        </w:tc>
        <w:tc>
          <w:tcPr>
            <w:tcW w:w="2728" w:type="dxa"/>
            <w:vMerge w:val="restart"/>
          </w:tcPr>
          <w:p w:rsidR="00C37664" w:rsidRPr="00253E96" w:rsidRDefault="00C37664" w:rsidP="00C7767F">
            <w:pPr>
              <w:pStyle w:val="Default"/>
            </w:pPr>
            <w:r w:rsidRPr="00253E96">
              <w:t xml:space="preserve">Наименование разделов и дисциплины </w:t>
            </w:r>
          </w:p>
        </w:tc>
        <w:tc>
          <w:tcPr>
            <w:tcW w:w="945" w:type="dxa"/>
            <w:vMerge w:val="restart"/>
          </w:tcPr>
          <w:p w:rsidR="00C37664" w:rsidRPr="00253E96" w:rsidRDefault="00C37664" w:rsidP="00C7767F">
            <w:pPr>
              <w:pStyle w:val="Default"/>
            </w:pPr>
            <w:r w:rsidRPr="00253E96">
              <w:t xml:space="preserve">Всего часов </w:t>
            </w:r>
          </w:p>
        </w:tc>
        <w:tc>
          <w:tcPr>
            <w:tcW w:w="4394" w:type="dxa"/>
            <w:gridSpan w:val="3"/>
          </w:tcPr>
          <w:p w:rsidR="00C37664" w:rsidRPr="00253E96" w:rsidRDefault="00C37664" w:rsidP="00C7767F">
            <w:pPr>
              <w:pStyle w:val="Default"/>
              <w:jc w:val="center"/>
            </w:pPr>
            <w:r w:rsidRPr="00253E96">
              <w:t>В том числе:</w:t>
            </w:r>
          </w:p>
        </w:tc>
        <w:tc>
          <w:tcPr>
            <w:tcW w:w="1208" w:type="dxa"/>
            <w:vMerge w:val="restart"/>
          </w:tcPr>
          <w:p w:rsidR="00C37664" w:rsidRPr="00253E96" w:rsidRDefault="00C37664" w:rsidP="00C7767F">
            <w:pPr>
              <w:pStyle w:val="Default"/>
            </w:pPr>
            <w:r w:rsidRPr="00253E96">
              <w:t xml:space="preserve">Формы контроля 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  <w:vMerge/>
          </w:tcPr>
          <w:p w:rsidR="00C37664" w:rsidRPr="00253E96" w:rsidRDefault="00C37664" w:rsidP="00C7767F">
            <w:pPr>
              <w:pStyle w:val="Default"/>
            </w:pPr>
          </w:p>
        </w:tc>
        <w:tc>
          <w:tcPr>
            <w:tcW w:w="2728" w:type="dxa"/>
            <w:vMerge/>
          </w:tcPr>
          <w:p w:rsidR="00C37664" w:rsidRPr="00253E96" w:rsidRDefault="00C37664" w:rsidP="00C7767F">
            <w:pPr>
              <w:pStyle w:val="Default"/>
            </w:pPr>
          </w:p>
        </w:tc>
        <w:tc>
          <w:tcPr>
            <w:tcW w:w="945" w:type="dxa"/>
            <w:vMerge/>
          </w:tcPr>
          <w:p w:rsidR="00C37664" w:rsidRPr="00253E96" w:rsidRDefault="00C37664" w:rsidP="00C7767F">
            <w:pPr>
              <w:pStyle w:val="Default"/>
            </w:pPr>
          </w:p>
        </w:tc>
        <w:tc>
          <w:tcPr>
            <w:tcW w:w="992" w:type="dxa"/>
          </w:tcPr>
          <w:p w:rsidR="00C37664" w:rsidRPr="00253E96" w:rsidRDefault="00C37664" w:rsidP="00C7767F">
            <w:pPr>
              <w:pStyle w:val="Default"/>
            </w:pPr>
            <w:r w:rsidRPr="00253E96">
              <w:t xml:space="preserve">Лекции </w:t>
            </w:r>
          </w:p>
        </w:tc>
        <w:tc>
          <w:tcPr>
            <w:tcW w:w="1701" w:type="dxa"/>
          </w:tcPr>
          <w:p w:rsidR="00C37664" w:rsidRPr="00253E96" w:rsidRDefault="00C37664" w:rsidP="00C7767F">
            <w:pPr>
              <w:pStyle w:val="Default"/>
            </w:pPr>
            <w:r w:rsidRPr="00253E96">
              <w:t xml:space="preserve">Лабораторные занятия </w:t>
            </w:r>
          </w:p>
        </w:tc>
        <w:tc>
          <w:tcPr>
            <w:tcW w:w="1701" w:type="dxa"/>
          </w:tcPr>
          <w:p w:rsidR="00C37664" w:rsidRPr="00253E96" w:rsidRDefault="00C37664" w:rsidP="00C7767F">
            <w:pPr>
              <w:pStyle w:val="Default"/>
            </w:pPr>
            <w:r w:rsidRPr="00253E96">
              <w:t xml:space="preserve">Практические занятия </w:t>
            </w:r>
          </w:p>
        </w:tc>
        <w:tc>
          <w:tcPr>
            <w:tcW w:w="1208" w:type="dxa"/>
            <w:vMerge/>
          </w:tcPr>
          <w:p w:rsidR="00C37664" w:rsidRPr="00253E96" w:rsidRDefault="00C37664" w:rsidP="00C7767F">
            <w:pPr>
              <w:pStyle w:val="Default"/>
            </w:pP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Pr="00253E96" w:rsidRDefault="00C37664" w:rsidP="00C7767F">
            <w:pPr>
              <w:pStyle w:val="Default"/>
            </w:pPr>
            <w:r w:rsidRPr="00253E96">
              <w:t>1</w:t>
            </w:r>
          </w:p>
        </w:tc>
        <w:tc>
          <w:tcPr>
            <w:tcW w:w="2728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Потребитель и его поведение на конкурентном рынке</w:t>
            </w:r>
          </w:p>
        </w:tc>
        <w:tc>
          <w:tcPr>
            <w:tcW w:w="945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36</w:t>
            </w:r>
          </w:p>
        </w:tc>
        <w:tc>
          <w:tcPr>
            <w:tcW w:w="992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26</w:t>
            </w:r>
          </w:p>
        </w:tc>
        <w:tc>
          <w:tcPr>
            <w:tcW w:w="1701" w:type="dxa"/>
            <w:vAlign w:val="center"/>
          </w:tcPr>
          <w:p w:rsidR="00C37664" w:rsidRPr="00253E96" w:rsidRDefault="00C37664" w:rsidP="00C7767F">
            <w:pPr>
              <w:pStyle w:val="Default"/>
            </w:pPr>
          </w:p>
        </w:tc>
        <w:tc>
          <w:tcPr>
            <w:tcW w:w="1701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10</w:t>
            </w:r>
          </w:p>
        </w:tc>
        <w:tc>
          <w:tcPr>
            <w:tcW w:w="1208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Зачѐт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728" w:type="dxa"/>
            <w:vAlign w:val="center"/>
          </w:tcPr>
          <w:p w:rsidR="00C37664" w:rsidRDefault="00C37664" w:rsidP="00C7767F">
            <w:pPr>
              <w:pStyle w:val="Default"/>
            </w:pPr>
            <w:r>
              <w:t xml:space="preserve">Производитель и его поведение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конкурентом</w:t>
            </w:r>
            <w:proofErr w:type="gramEnd"/>
            <w:r>
              <w:t xml:space="preserve"> рынке</w:t>
            </w:r>
          </w:p>
        </w:tc>
        <w:tc>
          <w:tcPr>
            <w:tcW w:w="945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208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728" w:type="dxa"/>
            <w:vAlign w:val="center"/>
          </w:tcPr>
          <w:p w:rsidR="00C37664" w:rsidRPr="00C4414B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t>Модели экономического взаимодействия на простейших рынках</w:t>
            </w:r>
          </w:p>
        </w:tc>
        <w:tc>
          <w:tcPr>
            <w:tcW w:w="945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208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</w:t>
            </w:r>
          </w:p>
        </w:tc>
        <w:tc>
          <w:tcPr>
            <w:tcW w:w="2728" w:type="dxa"/>
            <w:vAlign w:val="center"/>
          </w:tcPr>
          <w:p w:rsidR="00C37664" w:rsidRPr="00C4414B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t>Модели сотрудничества и конкуренции</w:t>
            </w:r>
          </w:p>
        </w:tc>
        <w:tc>
          <w:tcPr>
            <w:tcW w:w="945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208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2728" w:type="dxa"/>
            <w:vAlign w:val="center"/>
          </w:tcPr>
          <w:p w:rsidR="00C37664" w:rsidRPr="00C4414B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t>Модели рынков</w:t>
            </w:r>
          </w:p>
        </w:tc>
        <w:tc>
          <w:tcPr>
            <w:tcW w:w="945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992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208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2728" w:type="dxa"/>
            <w:vAlign w:val="center"/>
          </w:tcPr>
          <w:p w:rsidR="00C37664" w:rsidRPr="00C4414B" w:rsidRDefault="00C37664" w:rsidP="00C7767F">
            <w:pPr>
              <w:pStyle w:val="Default"/>
            </w:pPr>
            <w:r>
              <w:t>Модель межотраслевого баланса</w:t>
            </w:r>
          </w:p>
        </w:tc>
        <w:tc>
          <w:tcPr>
            <w:tcW w:w="945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C37664" w:rsidRPr="00C4414B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208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7664" w:rsidTr="00C7767F">
        <w:trPr>
          <w:trHeight w:val="310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2728" w:type="dxa"/>
            <w:vAlign w:val="center"/>
          </w:tcPr>
          <w:p w:rsidR="00C37664" w:rsidRDefault="00C37664" w:rsidP="00C7767F">
            <w:pPr>
              <w:pStyle w:val="Default"/>
            </w:pPr>
            <w:r>
              <w:t>Модель Неймана</w:t>
            </w:r>
          </w:p>
        </w:tc>
        <w:tc>
          <w:tcPr>
            <w:tcW w:w="945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92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208" w:type="dxa"/>
            <w:vAlign w:val="center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C37664" w:rsidRPr="00253E96" w:rsidTr="00C7767F">
        <w:trPr>
          <w:trHeight w:val="847"/>
        </w:trPr>
        <w:tc>
          <w:tcPr>
            <w:tcW w:w="546" w:type="dxa"/>
          </w:tcPr>
          <w:p w:rsidR="00C37664" w:rsidRPr="00253E96" w:rsidRDefault="00C37664" w:rsidP="00C7767F">
            <w:pPr>
              <w:pStyle w:val="Default"/>
            </w:pPr>
            <w:r w:rsidRPr="00253E96">
              <w:t>8.</w:t>
            </w:r>
          </w:p>
        </w:tc>
        <w:tc>
          <w:tcPr>
            <w:tcW w:w="2728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Итоговый междисциплинарный экзамен</w:t>
            </w:r>
          </w:p>
        </w:tc>
        <w:tc>
          <w:tcPr>
            <w:tcW w:w="945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8</w:t>
            </w:r>
          </w:p>
        </w:tc>
        <w:tc>
          <w:tcPr>
            <w:tcW w:w="992" w:type="dxa"/>
            <w:vAlign w:val="center"/>
          </w:tcPr>
          <w:p w:rsidR="00C37664" w:rsidRPr="00253E96" w:rsidRDefault="00C37664" w:rsidP="00C7767F">
            <w:pPr>
              <w:pStyle w:val="Default"/>
            </w:pPr>
          </w:p>
        </w:tc>
        <w:tc>
          <w:tcPr>
            <w:tcW w:w="1701" w:type="dxa"/>
            <w:vAlign w:val="center"/>
          </w:tcPr>
          <w:p w:rsidR="00C37664" w:rsidRPr="00253E96" w:rsidRDefault="00C37664" w:rsidP="00C7767F">
            <w:pPr>
              <w:pStyle w:val="Default"/>
            </w:pPr>
          </w:p>
        </w:tc>
        <w:tc>
          <w:tcPr>
            <w:tcW w:w="1701" w:type="dxa"/>
            <w:vAlign w:val="center"/>
          </w:tcPr>
          <w:p w:rsidR="00C37664" w:rsidRPr="00253E96" w:rsidRDefault="00C37664" w:rsidP="00C7767F">
            <w:pPr>
              <w:pStyle w:val="Default"/>
            </w:pPr>
            <w:r w:rsidRPr="00253E96">
              <w:t>8</w:t>
            </w:r>
          </w:p>
        </w:tc>
        <w:tc>
          <w:tcPr>
            <w:tcW w:w="1208" w:type="dxa"/>
            <w:vAlign w:val="center"/>
          </w:tcPr>
          <w:p w:rsidR="00C37664" w:rsidRPr="00253E96" w:rsidRDefault="00C37664" w:rsidP="00C77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E9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37664" w:rsidTr="00C7767F">
        <w:trPr>
          <w:trHeight w:val="79"/>
        </w:trPr>
        <w:tc>
          <w:tcPr>
            <w:tcW w:w="546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28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ВСЕГО ЧАСОВ </w:t>
            </w:r>
          </w:p>
        </w:tc>
        <w:tc>
          <w:tcPr>
            <w:tcW w:w="945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</w:p>
        </w:tc>
        <w:tc>
          <w:tcPr>
            <w:tcW w:w="992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</w:t>
            </w:r>
          </w:p>
        </w:tc>
        <w:tc>
          <w:tcPr>
            <w:tcW w:w="1701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</w:t>
            </w:r>
          </w:p>
        </w:tc>
        <w:tc>
          <w:tcPr>
            <w:tcW w:w="1208" w:type="dxa"/>
          </w:tcPr>
          <w:p w:rsidR="00C37664" w:rsidRDefault="00C37664" w:rsidP="00C7767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66337" w:rsidRDefault="00566337" w:rsidP="00C37664"/>
    <w:sectPr w:rsidR="00566337" w:rsidSect="00C3766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C37664"/>
    <w:rsid w:val="00566337"/>
    <w:rsid w:val="00C37664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4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6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66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66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664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7664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37664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C376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C37664"/>
    <w:rPr>
      <w:rFonts w:eastAsia="Times New Roman"/>
      <w:snapToGrid/>
      <w:spacing w:val="0"/>
      <w:sz w:val="28"/>
      <w:szCs w:val="24"/>
      <w:lang w:eastAsia="ru-RU"/>
    </w:rPr>
  </w:style>
  <w:style w:type="paragraph" w:customStyle="1" w:styleId="Default">
    <w:name w:val="Default"/>
    <w:rsid w:val="00C37664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2019-08-08T09:21:00Z</dcterms:created>
  <dcterms:modified xsi:type="dcterms:W3CDTF">2019-08-08T09:21:00Z</dcterms:modified>
</cp:coreProperties>
</file>